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0"/>
        <w:jc w:val="center"/>
      </w:pPr>
      <w:r>
        <w:rPr>
          <w:rFonts w:ascii="Calibri" w:hAnsi="Calibri" w:eastAsia="Calibri"/>
          <w:b/>
          <w:i w:val="0"/>
          <w:sz w:val="24"/>
        </w:rPr>
        <w:t>WORKING STANDARD</w:t>
      </w:r>
    </w:p>
    <w:p>
      <w:pPr>
        <w:spacing w:after="40" w:before="0"/>
        <w:jc w:val="center"/>
      </w:pPr>
      <w:r>
        <w:rPr>
          <w:rFonts w:ascii="Calibri" w:hAnsi="Calibri" w:eastAsia="Calibri"/>
          <w:b/>
          <w:i w:val="0"/>
          <w:sz w:val="36"/>
        </w:rPr>
        <w:t>Term Decomposition Protocol</w:t>
      </w:r>
    </w:p>
    <w:p>
      <w:pPr>
        <w:spacing w:after="40" w:before="0"/>
        <w:jc w:val="center"/>
      </w:pPr>
      <w:r>
        <w:rPr>
          <w:rFonts w:ascii="Calibri" w:hAnsi="Calibri" w:eastAsia="Calibri"/>
          <w:b/>
          <w:i w:val="0"/>
          <w:sz w:val="24"/>
        </w:rPr>
        <w:t>TDP-001  ·  Version 0.1.2</w:t>
      </w:r>
    </w:p>
    <w:p>
      <w:pPr>
        <w:spacing w:after="160" w:before="0"/>
        <w:jc w:val="center"/>
      </w:pPr>
      <w:r>
        <w:rPr>
          <w:rFonts w:ascii="Calibri" w:hAnsi="Calibri" w:eastAsia="Calibri"/>
          <w:b w:val="0"/>
          <w:i/>
          <w:sz w:val="22"/>
        </w:rPr>
        <w:t>Metrology of the Abstract  ·  Sovereign Games Framework</w:t>
      </w:r>
    </w:p>
    <w:p>
      <w:pPr>
        <w:spacing w:after="80"/>
      </w:pPr>
      <w:r>
        <w:rPr>
          <w:rFonts w:ascii="Calibri" w:hAnsi="Calibri" w:eastAsia="Calibri"/>
          <w:b/>
          <w:i w:val="0"/>
          <w:sz w:val="20"/>
        </w:rPr>
        <w:t>Standing: Self-Assessed  ·  Provisional Working Standard</w:t>
      </w:r>
    </w:p>
    <w:p>
      <w:pPr>
        <w:spacing w:after="80"/>
      </w:pPr>
      <w:r>
        <w:rPr>
          <w:rFonts w:ascii="Calibri" w:hAnsi="Calibri" w:eastAsia="Calibri"/>
          <w:b w:val="0"/>
          <w:i/>
          <w:sz w:val="20"/>
        </w:rPr>
        <w:t>Reality still gets the final vote. This document defines an instrument, not a finished proof. Open to permanent beta revision. Independent re-runs required before any standing promotion.</w:t>
      </w:r>
    </w:p>
    <w:p>
      <w:pPr>
        <w:spacing w:after="200"/>
      </w:pPr>
      <w:r>
        <w:rPr>
          <w:rFonts w:ascii="Calibri" w:hAnsi="Calibri" w:eastAsia="Calibri"/>
          <w:b w:val="0"/>
          <w:i w:val="0"/>
          <w:sz w:val="20"/>
        </w:rPr>
        <w:t>Changes from v0.1.1: Step 0 — Atomicity / Bundle Check (prospective); definitions for atomic unit, composite term, and composition rule; schema fields atomicity_result and composition_rule; open-item update. Driven by recorded findings in the Abundance development calibration (2026-07-25). Atomicity insight attributed to human mid-chase observation, not protocol auto-generation.</w:t>
      </w:r>
    </w:p>
    <w:p>
      <w:pPr>
        <w:spacing w:before="280" w:after="120"/>
      </w:pPr>
      <w:r>
        <w:rPr>
          <w:rFonts w:ascii="Calibri" w:hAnsi="Calibri" w:eastAsia="Calibri"/>
          <w:b/>
          <w:i w:val="0"/>
          <w:sz w:val="28"/>
        </w:rPr>
        <w:t>1. Purpose and Scope</w:t>
      </w:r>
    </w:p>
    <w:p>
      <w:pPr>
        <w:spacing w:after="120" w:before="0"/>
      </w:pPr>
      <w:r>
        <w:rPr>
          <w:rFonts w:ascii="Calibri" w:hAnsi="Calibri" w:eastAsia="Calibri"/>
          <w:b w:val="0"/>
          <w:i w:val="0"/>
          <w:sz w:val="22"/>
        </w:rPr>
        <w:t>This Working Standard defines the Term Decomposition Protocol (TDP) — a repeatable, adversarially-driven procedure for converting contested abstract terms into versioned, testable mechanisms with explicitly located floors.</w:t>
      </w:r>
    </w:p>
    <w:p>
      <w:pPr>
        <w:spacing w:after="120" w:before="0"/>
      </w:pPr>
      <w:r>
        <w:rPr>
          <w:rFonts w:ascii="Calibri" w:hAnsi="Calibri" w:eastAsia="Calibri"/>
          <w:b w:val="0"/>
          <w:i w:val="0"/>
          <w:sz w:val="22"/>
        </w:rPr>
        <w:t>The protocol treats abstract terms the way physical metrology treats measurement instruments: propose a standard, test it against reference cases (here, adversarial counterexamples), correct deviations, and retest until either the mechanism survives pressure or a genuine floor is reached and correctly characterized.</w:t>
      </w:r>
    </w:p>
    <w:p>
      <w:pPr>
        <w:spacing w:after="120" w:before="0"/>
      </w:pPr>
      <w:r>
        <w:rPr>
          <w:rFonts w:ascii="Calibri" w:hAnsi="Calibri" w:eastAsia="Calibri"/>
          <w:b w:val="0"/>
          <w:i w:val="0"/>
          <w:sz w:val="22"/>
        </w:rPr>
        <w:t>The objective is not to produce permanent definitions. The objective is to produce the most highly calibrated mechanism currently supported by available evidence and adversarial testing.</w:t>
      </w:r>
    </w:p>
    <w:p>
      <w:pPr>
        <w:spacing w:before="200" w:after="120"/>
      </w:pPr>
      <w:r>
        <w:rPr>
          <w:rFonts w:ascii="Calibri" w:hAnsi="Calibri" w:eastAsia="Calibri"/>
          <w:b/>
          <w:i w:val="0"/>
          <w:sz w:val="24"/>
        </w:rPr>
        <w:t>1.1 In Scope</w:t>
      </w:r>
    </w:p>
    <w:p>
      <w:pPr>
        <w:pStyle w:val="ListBullet"/>
        <w:spacing w:after="60"/>
      </w:pPr>
      <w:r>
        <w:rPr>
          <w:rFonts w:ascii="Calibri" w:hAnsi="Calibri" w:eastAsia="Calibri"/>
          <w:b w:val="0"/>
          <w:i w:val="0"/>
          <w:sz w:val="22"/>
        </w:rPr>
        <w:t>Atomicity / bundle determination for candidate terms before main-chain decomposition.</w:t>
      </w:r>
    </w:p>
    <w:p>
      <w:pPr>
        <w:pStyle w:val="ListBullet"/>
        <w:spacing w:after="60"/>
      </w:pPr>
      <w:r>
        <w:rPr>
          <w:rFonts w:ascii="Calibri" w:hAnsi="Calibri" w:eastAsia="Calibri"/>
          <w:b w:val="0"/>
          <w:i w:val="0"/>
          <w:sz w:val="22"/>
        </w:rPr>
        <w:t>Decomposition of contested abstract terms (or their atomic units) into underlying mechanisms.</w:t>
      </w:r>
    </w:p>
    <w:p>
      <w:pPr>
        <w:pStyle w:val="ListBullet"/>
        <w:spacing w:after="60"/>
      </w:pPr>
      <w:r>
        <w:rPr>
          <w:rFonts w:ascii="Calibri" w:hAnsi="Calibri" w:eastAsia="Calibri"/>
          <w:b w:val="0"/>
          <w:i w:val="0"/>
          <w:sz w:val="22"/>
        </w:rPr>
        <w:t>Generation and application of adversarial counterexamples.</w:t>
      </w:r>
    </w:p>
    <w:p>
      <w:pPr>
        <w:pStyle w:val="ListBullet"/>
        <w:spacing w:after="60"/>
      </w:pPr>
      <w:r>
        <w:rPr>
          <w:rFonts w:ascii="Calibri" w:hAnsi="Calibri" w:eastAsia="Calibri"/>
          <w:b w:val="0"/>
          <w:i w:val="0"/>
          <w:sz w:val="22"/>
        </w:rPr>
        <w:t>Versioned patching of mechanisms.</w:t>
      </w:r>
    </w:p>
    <w:p>
      <w:pPr>
        <w:pStyle w:val="ListBullet"/>
        <w:spacing w:after="60"/>
      </w:pPr>
      <w:r>
        <w:rPr>
          <w:rFonts w:ascii="Calibri" w:hAnsi="Calibri" w:eastAsia="Calibri"/>
          <w:b w:val="0"/>
          <w:i w:val="0"/>
          <w:sz w:val="22"/>
        </w:rPr>
        <w:t>Explicit declaration and characterization of floors.</w:t>
      </w:r>
    </w:p>
    <w:p>
      <w:pPr>
        <w:pStyle w:val="ListBullet"/>
        <w:spacing w:after="60"/>
      </w:pPr>
      <w:r>
        <w:rPr>
          <w:rFonts w:ascii="Calibri" w:hAnsi="Calibri" w:eastAsia="Calibri"/>
          <w:b w:val="0"/>
          <w:i w:val="0"/>
          <w:sz w:val="22"/>
        </w:rPr>
        <w:t>Composition rules when a term is a bundle of sub-mechanisms.</w:t>
      </w:r>
    </w:p>
    <w:p>
      <w:pPr>
        <w:pStyle w:val="ListBullet"/>
        <w:spacing w:after="60"/>
      </w:pPr>
      <w:r>
        <w:rPr>
          <w:rFonts w:ascii="Calibri" w:hAnsi="Calibri" w:eastAsia="Calibri"/>
          <w:b w:val="0"/>
          <w:i w:val="0"/>
          <w:sz w:val="22"/>
        </w:rPr>
        <w:t>Production of structured Calibration Records that can be stored, versioned, re-run, and audited.</w:t>
      </w:r>
    </w:p>
    <w:p>
      <w:pPr>
        <w:spacing w:before="200" w:after="120"/>
      </w:pPr>
      <w:r>
        <w:rPr>
          <w:rFonts w:ascii="Calibri" w:hAnsi="Calibri" w:eastAsia="Calibri"/>
          <w:b/>
          <w:i w:val="0"/>
          <w:sz w:val="24"/>
        </w:rPr>
        <w:t>1.2 Out of Scope</w:t>
      </w:r>
    </w:p>
    <w:p>
      <w:pPr>
        <w:pStyle w:val="ListBullet"/>
        <w:spacing w:after="60"/>
      </w:pPr>
      <w:r>
        <w:rPr>
          <w:rFonts w:ascii="Calibri" w:hAnsi="Calibri" w:eastAsia="Calibri"/>
          <w:b w:val="0"/>
          <w:i w:val="0"/>
          <w:sz w:val="22"/>
        </w:rPr>
        <w:t>Authoritative final definitions of any term.</w:t>
      </w:r>
    </w:p>
    <w:p>
      <w:pPr>
        <w:pStyle w:val="ListBullet"/>
        <w:spacing w:after="60"/>
      </w:pPr>
      <w:r>
        <w:rPr>
          <w:rFonts w:ascii="Calibri" w:hAnsi="Calibri" w:eastAsia="Calibri"/>
          <w:b w:val="0"/>
          <w:i w:val="0"/>
          <w:sz w:val="22"/>
        </w:rPr>
        <w:t>Moral, political, or ideological prescription.</w:t>
      </w:r>
    </w:p>
    <w:p>
      <w:pPr>
        <w:pStyle w:val="ListBullet"/>
        <w:spacing w:after="60"/>
      </w:pPr>
      <w:r>
        <w:rPr>
          <w:rFonts w:ascii="Calibri" w:hAnsi="Calibri" w:eastAsia="Calibri"/>
          <w:b w:val="0"/>
          <w:i w:val="0"/>
          <w:sz w:val="22"/>
        </w:rPr>
        <w:t>Claims of universal applicability without independent confirmation.</w:t>
      </w:r>
    </w:p>
    <w:p>
      <w:pPr>
        <w:pStyle w:val="ListBullet"/>
        <w:spacing w:after="60"/>
      </w:pPr>
      <w:r>
        <w:rPr>
          <w:rFonts w:ascii="Calibri" w:hAnsi="Calibri" w:eastAsia="Calibri"/>
          <w:b w:val="0"/>
          <w:i w:val="0"/>
          <w:sz w:val="22"/>
        </w:rPr>
        <w:t>Computational architecture or execution environments (downstream of calibrated mechanisms).</w:t>
      </w:r>
    </w:p>
    <w:p>
      <w:pPr>
        <w:spacing w:before="280" w:after="120"/>
      </w:pPr>
      <w:r>
        <w:rPr>
          <w:rFonts w:ascii="Calibri" w:hAnsi="Calibri" w:eastAsia="Calibri"/>
          <w:b/>
          <w:i w:val="0"/>
          <w:sz w:val="28"/>
        </w:rPr>
        <w:t>2. Core Principle</w:t>
      </w:r>
    </w:p>
    <w:p>
      <w:pPr>
        <w:spacing w:after="120" w:before="0"/>
      </w:pPr>
      <w:r>
        <w:rPr>
          <w:rFonts w:ascii="Calibri" w:hAnsi="Calibri" w:eastAsia="Calibri"/>
          <w:b w:val="0"/>
          <w:i w:val="0"/>
          <w:sz w:val="22"/>
        </w:rPr>
        <w:t>Mechanism is the hypothesis. The adversarial counterexample is the instrument. The floor is legitimate calibration output, not failure.</w:t>
      </w:r>
    </w:p>
    <w:p>
      <w:pPr>
        <w:spacing w:after="120" w:before="0"/>
      </w:pPr>
      <w:r>
        <w:rPr>
          <w:rFonts w:ascii="Calibri" w:hAnsi="Calibri" w:eastAsia="Calibri"/>
          <w:b w:val="0"/>
          <w:i w:val="0"/>
          <w:sz w:val="22"/>
        </w:rPr>
        <w:t>We do not invent new ideologies. We convert contested terms into the best-calibrated mechanisms current evidence supports, with explicit residual uncertainty and permanent openness to better counterexamples or better instruments.</w:t>
      </w:r>
    </w:p>
    <w:p>
      <w:pPr>
        <w:spacing w:after="120" w:before="0"/>
      </w:pPr>
      <w:r>
        <w:rPr>
          <w:rFonts w:ascii="Calibri" w:hAnsi="Calibri" w:eastAsia="Calibri"/>
          <w:b w:val="0"/>
          <w:i w:val="0"/>
          <w:sz w:val="22"/>
        </w:rPr>
        <w:t>Not every ordinary-language term names a single mechanism. Some name a cluster. Forcing one adversarial chain across a compound term produces false “never floors” progress when multiple independent instruments share a label. Step 0 exists to prevent that nonconformance.</w:t>
      </w:r>
    </w:p>
    <w:p>
      <w:pPr>
        <w:spacing w:before="280" w:after="120"/>
      </w:pPr>
      <w:r>
        <w:rPr>
          <w:rFonts w:ascii="Calibri" w:hAnsi="Calibri" w:eastAsia="Calibri"/>
          <w:b/>
          <w:i w:val="0"/>
          <w:sz w:val="28"/>
        </w:rPr>
        <w:t>3. Definitions</w:t>
      </w:r>
    </w:p>
    <w:p>
      <w:pPr>
        <w:spacing w:before="200" w:after="120"/>
      </w:pPr>
      <w:r>
        <w:rPr>
          <w:rFonts w:ascii="Calibri" w:hAnsi="Calibri" w:eastAsia="Calibri"/>
          <w:b/>
          <w:i w:val="0"/>
          <w:sz w:val="24"/>
        </w:rPr>
        <w:t>Mechanism</w:t>
      </w:r>
    </w:p>
    <w:p>
      <w:pPr>
        <w:spacing w:after="120" w:before="0"/>
      </w:pPr>
      <w:r>
        <w:rPr>
          <w:rFonts w:ascii="Calibri" w:hAnsi="Calibri" w:eastAsia="Calibri"/>
          <w:b w:val="0"/>
          <w:i w:val="0"/>
          <w:sz w:val="22"/>
        </w:rPr>
        <w:t>A candidate underlying process or decision rule that is claimed to generate the ordinary usage of the target term. A mechanism is not a synonym, not a list of examples, and not a moral judgment. It must be stated as a testable claim.</w:t>
      </w:r>
    </w:p>
    <w:p>
      <w:pPr>
        <w:spacing w:before="200" w:after="120"/>
      </w:pPr>
      <w:r>
        <w:rPr>
          <w:rFonts w:ascii="Calibri" w:hAnsi="Calibri" w:eastAsia="Calibri"/>
          <w:b/>
          <w:i w:val="0"/>
          <w:sz w:val="24"/>
        </w:rPr>
        <w:t>Adversarial Counterexample</w:t>
      </w:r>
    </w:p>
    <w:p>
      <w:pPr>
        <w:spacing w:after="120" w:before="0"/>
      </w:pPr>
      <w:r>
        <w:rPr>
          <w:rFonts w:ascii="Calibri" w:hAnsi="Calibri" w:eastAsia="Calibri"/>
          <w:b w:val="0"/>
          <w:i w:val="0"/>
          <w:sz w:val="22"/>
        </w:rPr>
        <w:t>A deliberately hostile case constructed to break the current mechanism if the mechanism is incomplete, incorrect, or mis-specified. Friendly or confirmatory examples are forbidden at the testing stage. The counterexample is the primary reference standard.</w:t>
      </w:r>
    </w:p>
    <w:p>
      <w:pPr>
        <w:spacing w:before="200" w:after="120"/>
      </w:pPr>
      <w:r>
        <w:rPr>
          <w:rFonts w:ascii="Calibri" w:hAnsi="Calibri" w:eastAsia="Calibri"/>
          <w:b/>
          <w:i w:val="0"/>
          <w:sz w:val="24"/>
        </w:rPr>
        <w:t>Counterexample Quality Gate</w:t>
      </w:r>
    </w:p>
    <w:p>
      <w:pPr>
        <w:spacing w:after="120" w:before="0"/>
      </w:pPr>
      <w:r>
        <w:rPr>
          <w:rFonts w:ascii="Calibri" w:hAnsi="Calibri" w:eastAsia="Calibri"/>
          <w:b w:val="0"/>
          <w:i w:val="0"/>
          <w:sz w:val="22"/>
        </w:rPr>
        <w:t>A validity check applied at generation: the counterexample must vary only the property under test. If it also violates a term already required by the current mechanism (e.g., by changing the rule type itself), it is invalid and must be discarded or rewritten. This gate exists because a recorded failure (rigged-lottery error) demonstrated that invalid counterexamples can otherwise pass undetected until later human review.</w:t>
      </w:r>
    </w:p>
    <w:p>
      <w:pPr>
        <w:spacing w:before="200" w:after="120"/>
      </w:pPr>
      <w:r>
        <w:rPr>
          <w:rFonts w:ascii="Calibri" w:hAnsi="Calibri" w:eastAsia="Calibri"/>
          <w:b/>
          <w:i w:val="0"/>
          <w:sz w:val="24"/>
        </w:rPr>
        <w:t>Atomic Unit</w:t>
      </w:r>
    </w:p>
    <w:p>
      <w:pPr>
        <w:spacing w:after="120" w:before="0"/>
      </w:pPr>
      <w:r>
        <w:rPr>
          <w:rFonts w:ascii="Calibri" w:hAnsi="Calibri" w:eastAsia="Calibri"/>
          <w:b w:val="0"/>
          <w:i w:val="0"/>
          <w:sz w:val="22"/>
        </w:rPr>
        <w:t>A sub-component of a candidate term that presents an independent failure surface under adversarial pressure — i.e., a hostile case aimed at that component does not automatically pressure the other components. Atomic units receive their own TDP main chain (Steps 1–6).</w:t>
      </w:r>
    </w:p>
    <w:p>
      <w:pPr>
        <w:spacing w:before="200" w:after="120"/>
      </w:pPr>
      <w:r>
        <w:rPr>
          <w:rFonts w:ascii="Calibri" w:hAnsi="Calibri" w:eastAsia="Calibri"/>
          <w:b/>
          <w:i w:val="0"/>
          <w:sz w:val="24"/>
        </w:rPr>
        <w:t>Composite Term (Bundle)</w:t>
      </w:r>
    </w:p>
    <w:p>
      <w:pPr>
        <w:spacing w:after="120" w:before="0"/>
      </w:pPr>
      <w:r>
        <w:rPr>
          <w:rFonts w:ascii="Calibri" w:hAnsi="Calibri" w:eastAsia="Calibri"/>
          <w:b w:val="0"/>
          <w:i w:val="0"/>
          <w:sz w:val="22"/>
        </w:rPr>
        <w:t>A term whose ordinary-language unity packages multiple atomic units. Detected when Step 0 hostile sketches hit independent failure surfaces. Bundles require separate child Calibration Records (or clearly separated sub-runs) plus a Composition Rule — not a single forced mega-chain.</w:t>
      </w:r>
    </w:p>
    <w:p>
      <w:pPr>
        <w:spacing w:before="200" w:after="120"/>
      </w:pPr>
      <w:r>
        <w:rPr>
          <w:rFonts w:ascii="Calibri" w:hAnsi="Calibri" w:eastAsia="Calibri"/>
          <w:b/>
          <w:i w:val="0"/>
          <w:sz w:val="24"/>
        </w:rPr>
        <w:t>Composition Rule</w:t>
      </w:r>
    </w:p>
    <w:p>
      <w:pPr>
        <w:spacing w:after="120" w:before="0"/>
      </w:pPr>
      <w:r>
        <w:rPr>
          <w:rFonts w:ascii="Calibri" w:hAnsi="Calibri" w:eastAsia="Calibri"/>
          <w:b w:val="0"/>
          <w:i w:val="0"/>
          <w:sz w:val="22"/>
        </w:rPr>
        <w:t>An explicit statement of how atomic-unit results combine: gates, floors, non-substitution constraints, and forbidden averages or laundering scores. Composition is first-class calibration output for composite terms.</w:t>
      </w:r>
    </w:p>
    <w:p>
      <w:pPr>
        <w:spacing w:before="200" w:after="120"/>
      </w:pPr>
      <w:r>
        <w:rPr>
          <w:rFonts w:ascii="Calibri" w:hAnsi="Calibri" w:eastAsia="Calibri"/>
          <w:b/>
          <w:i w:val="0"/>
          <w:sz w:val="24"/>
        </w:rPr>
        <w:t>Patch</w:t>
      </w:r>
    </w:p>
    <w:p>
      <w:pPr>
        <w:spacing w:after="120" w:before="0"/>
      </w:pPr>
      <w:r>
        <w:rPr>
          <w:rFonts w:ascii="Calibri" w:hAnsi="Calibri" w:eastAsia="Calibri"/>
          <w:b w:val="0"/>
          <w:i w:val="0"/>
          <w:sz w:val="22"/>
        </w:rPr>
        <w:t>A revision to a mechanism that explicitly addresses a documented failure against a prior counterexample. Every patch must declare which failure it claims to resolve.</w:t>
      </w:r>
    </w:p>
    <w:p>
      <w:pPr>
        <w:spacing w:before="200" w:after="120"/>
      </w:pPr>
      <w:r>
        <w:rPr>
          <w:rFonts w:ascii="Calibri" w:hAnsi="Calibri" w:eastAsia="Calibri"/>
          <w:b/>
          <w:i w:val="0"/>
          <w:sz w:val="24"/>
        </w:rPr>
        <w:t>Floor</w:t>
      </w:r>
    </w:p>
    <w:p>
      <w:pPr>
        <w:spacing w:after="120" w:before="0"/>
      </w:pPr>
      <w:r>
        <w:rPr>
          <w:rFonts w:ascii="Calibri" w:hAnsi="Calibri" w:eastAsia="Calibri"/>
          <w:b w:val="0"/>
          <w:i w:val="0"/>
          <w:sz w:val="22"/>
        </w:rPr>
        <w:t>A precisely located point at which further mechanism refinement cannot resolve a remaining disagreement or fork without smuggling in a different question. A floor is declared only after serious adversarial pressure and must distinguish the residual choice from any adjacent, separately calibratable question. Floor declarations begin at Self-Assessed standing; promotion above Self-Assessed requires Round-Robin confirmation.</w:t>
      </w:r>
    </w:p>
    <w:p>
      <w:pPr>
        <w:spacing w:before="200" w:after="120"/>
      </w:pPr>
      <w:r>
        <w:rPr>
          <w:rFonts w:ascii="Calibri" w:hAnsi="Calibri" w:eastAsia="Calibri"/>
          <w:b/>
          <w:i w:val="0"/>
          <w:sz w:val="24"/>
        </w:rPr>
        <w:t>Calibration Record</w:t>
      </w:r>
    </w:p>
    <w:p>
      <w:pPr>
        <w:spacing w:after="120" w:before="0"/>
      </w:pPr>
      <w:r>
        <w:rPr>
          <w:rFonts w:ascii="Calibri" w:hAnsi="Calibri" w:eastAsia="Calibri"/>
          <w:b w:val="0"/>
          <w:i w:val="0"/>
          <w:sz w:val="22"/>
        </w:rPr>
        <w:t>The complete, structured output of one full protocol run on one term (or one atomic unit). It is the primary deliverable of the instrument. For composite terms, the set of child records plus the composition rule constitutes the full deliverable.</w:t>
      </w:r>
    </w:p>
    <w:p>
      <w:pPr>
        <w:spacing w:before="200" w:after="120"/>
      </w:pPr>
      <w:r>
        <w:rPr>
          <w:rFonts w:ascii="Calibri" w:hAnsi="Calibri" w:eastAsia="Calibri"/>
          <w:b/>
          <w:i w:val="0"/>
          <w:sz w:val="24"/>
        </w:rPr>
        <w:t>Standing</w:t>
      </w:r>
    </w:p>
    <w:p>
      <w:pPr>
        <w:spacing w:after="120" w:before="0"/>
      </w:pPr>
      <w:r>
        <w:rPr>
          <w:rFonts w:ascii="Calibri" w:hAnsi="Calibri" w:eastAsia="Calibri"/>
          <w:b w:val="0"/>
          <w:i w:val="0"/>
          <w:sz w:val="22"/>
        </w:rPr>
        <w:t>The current confirmation status of a Calibration Record or of this Standard itself. Standing levels: Self-Assessed → Round-Robin → Confirmed. Promotion requires independent instruments and documented re-runs. AI round-robin alone does not create Confirmed standing.</w:t>
      </w:r>
    </w:p>
    <w:p>
      <w:pPr>
        <w:spacing w:before="280" w:after="120"/>
      </w:pPr>
      <w:r>
        <w:rPr>
          <w:rFonts w:ascii="Calibri" w:hAnsi="Calibri" w:eastAsia="Calibri"/>
          <w:b/>
          <w:i w:val="0"/>
          <w:sz w:val="28"/>
        </w:rPr>
        <w:t>4. Protocol Steps (Mandatory Sequence)</w:t>
      </w:r>
    </w:p>
    <w:p>
      <w:pPr>
        <w:spacing w:after="120" w:before="0"/>
      </w:pPr>
      <w:r>
        <w:rPr>
          <w:rFonts w:ascii="Calibri" w:hAnsi="Calibri" w:eastAsia="Calibri"/>
          <w:b w:val="0"/>
          <w:i w:val="0"/>
          <w:sz w:val="22"/>
        </w:rPr>
        <w:t>The following sequence is mandatory. Skipping, reordering, or softening any step constitutes a nonconformance. Step 0 is mandatory for any term that presents named sub-components or an obvious multi-part ordinary definition; it is recommended for all runs.</w:t>
      </w:r>
    </w:p>
    <w:p>
      <w:pPr>
        <w:spacing w:before="200" w:after="120"/>
      </w:pPr>
      <w:r>
        <w:rPr>
          <w:rFonts w:ascii="Calibri" w:hAnsi="Calibri" w:eastAsia="Calibri"/>
          <w:b/>
          <w:i w:val="0"/>
          <w:sz w:val="24"/>
        </w:rPr>
        <w:t>Step 0 — Atomicity / Bundle Check (Prospective)</w:t>
      </w:r>
    </w:p>
    <w:p>
      <w:pPr>
        <w:spacing w:after="120" w:before="0"/>
      </w:pPr>
      <w:r>
        <w:rPr>
          <w:rFonts w:ascii="Calibri" w:hAnsi="Calibri" w:eastAsia="Calibri"/>
          <w:b w:val="0"/>
          <w:i w:val="0"/>
          <w:sz w:val="22"/>
        </w:rPr>
        <w:t>Determine whether the candidate term is a single primary mechanism or a composite bundle before commencing the main adversarial chain. This check is prospective — not a post-hoc diagnosis after many counterexamples have already clustered on one sub-component.</w:t>
      </w:r>
    </w:p>
    <w:p>
      <w:pPr>
        <w:spacing w:after="120" w:before="0"/>
      </w:pPr>
      <w:r>
        <w:rPr>
          <w:rFonts w:ascii="Calibri" w:hAnsi="Calibri" w:eastAsia="Calibri"/>
          <w:b/>
          <w:i w:val="0"/>
          <w:sz w:val="22"/>
        </w:rPr>
        <w:t>Procedure:</w:t>
      </w:r>
    </w:p>
    <w:p>
      <w:pPr>
        <w:pStyle w:val="ListBullet"/>
        <w:spacing w:after="60"/>
      </w:pPr>
      <w:r>
        <w:rPr>
          <w:rFonts w:ascii="Calibri" w:hAnsi="Calibri" w:eastAsia="Calibri"/>
          <w:b w:val="0"/>
          <w:i w:val="0"/>
          <w:sz w:val="22"/>
        </w:rPr>
        <w:t>List every named sub-component in the candidate definition (or clearly implied by the working page/text).</w:t>
      </w:r>
    </w:p>
    <w:p>
      <w:pPr>
        <w:pStyle w:val="ListBullet"/>
        <w:spacing w:after="60"/>
      </w:pPr>
      <w:r>
        <w:rPr>
          <w:rFonts w:ascii="Calibri" w:hAnsi="Calibri" w:eastAsia="Calibri"/>
          <w:b w:val="0"/>
          <w:i w:val="0"/>
          <w:sz w:val="22"/>
        </w:rPr>
        <w:t>For each component, sketch one adversarial case aimed at that component alone.</w:t>
      </w:r>
    </w:p>
    <w:p>
      <w:pPr>
        <w:pStyle w:val="ListBullet"/>
        <w:spacing w:after="60"/>
      </w:pPr>
      <w:r>
        <w:rPr>
          <w:rFonts w:ascii="Calibri" w:hAnsi="Calibri" w:eastAsia="Calibri"/>
          <w:b w:val="0"/>
          <w:i w:val="0"/>
          <w:sz w:val="22"/>
        </w:rPr>
        <w:t>Ask: do these cases hit independent failure surfaces, or can one case pressure the unified claim of the whole term?</w:t>
      </w:r>
    </w:p>
    <w:p>
      <w:pPr>
        <w:pStyle w:val="ListBullet"/>
        <w:spacing w:after="60"/>
      </w:pPr>
      <w:r>
        <w:rPr>
          <w:rFonts w:ascii="Calibri" w:hAnsi="Calibri" w:eastAsia="Calibri"/>
          <w:b w:val="0"/>
          <w:i w:val="0"/>
          <w:sz w:val="22"/>
        </w:rPr>
        <w:t>If independent → treat as bundle: run Steps 1–6 separately on each atomic unit; then produce a Composition Rule (and record why any unit is a gate vs a capacity/score dimension).</w:t>
      </w:r>
    </w:p>
    <w:p>
      <w:pPr>
        <w:pStyle w:val="ListBullet"/>
        <w:spacing w:after="60"/>
      </w:pPr>
      <w:r>
        <w:rPr>
          <w:rFonts w:ascii="Calibri" w:hAnsi="Calibri" w:eastAsia="Calibri"/>
          <w:b w:val="0"/>
          <w:i w:val="0"/>
          <w:sz w:val="22"/>
        </w:rPr>
        <w:t>If a single case can break the unified claim → treat as single mechanism; proceed with Steps 1–6 on the whole term.</w:t>
      </w:r>
    </w:p>
    <w:p>
      <w:pPr>
        <w:spacing w:after="120" w:before="0"/>
      </w:pPr>
      <w:r>
        <w:rPr>
          <w:rFonts w:ascii="Calibri" w:hAnsi="Calibri" w:eastAsia="Calibri"/>
          <w:b w:val="0"/>
          <w:i w:val="0"/>
          <w:sz w:val="22"/>
        </w:rPr>
        <w:t>Required output: Atomicity result (Single / Bundle); list of atomic units if Bundle; optional gate-worthiness notes for units that may floor overall claims.</w:t>
      </w:r>
    </w:p>
    <w:p>
      <w:pPr>
        <w:spacing w:after="120" w:before="0"/>
      </w:pPr>
      <w:r>
        <w:rPr>
          <w:rFonts w:ascii="Calibri" w:hAnsi="Calibri" w:eastAsia="Calibri"/>
          <w:b w:val="0"/>
          <w:i w:val="0"/>
          <w:sz w:val="22"/>
        </w:rPr>
        <w:t>Attribution note: The need for this step was identified during the Abundance development calibration (2026-07-25) when the human practitioner observed mid-chase that counterexamples were clustering on term structure (depth/breadth), not merely that testing was incomplete. Codifying Step 0 is downstream of that observation — not evidence the prior protocol already contained it.</w:t>
      </w:r>
    </w:p>
    <w:p>
      <w:pPr>
        <w:spacing w:before="200" w:after="120"/>
      </w:pPr>
      <w:r>
        <w:rPr>
          <w:rFonts w:ascii="Calibri" w:hAnsi="Calibri" w:eastAsia="Calibri"/>
          <w:b/>
          <w:i w:val="0"/>
          <w:sz w:val="24"/>
        </w:rPr>
        <w:t>Step 1 — State Candidate Mechanism</w:t>
      </w:r>
    </w:p>
    <w:p>
      <w:pPr>
        <w:spacing w:after="120" w:before="0"/>
      </w:pPr>
      <w:r>
        <w:rPr>
          <w:rFonts w:ascii="Calibri" w:hAnsi="Calibri" w:eastAsia="Calibri"/>
          <w:b w:val="0"/>
          <w:i w:val="0"/>
          <w:sz w:val="22"/>
        </w:rPr>
        <w:t>State the mechanism as a precise, testable claim about the underlying process. Forbidden: synonyms, outcome lists, moral framing, or untestable appeals to “intuition.”</w:t>
      </w:r>
    </w:p>
    <w:p>
      <w:pPr>
        <w:spacing w:after="120" w:before="0"/>
      </w:pPr>
      <w:r>
        <w:rPr>
          <w:rFonts w:ascii="Calibri" w:hAnsi="Calibri" w:eastAsia="Calibri"/>
          <w:b w:val="0"/>
          <w:i w:val="0"/>
          <w:sz w:val="22"/>
        </w:rPr>
        <w:t>Required output: Mechanism statement (vN).</w:t>
      </w:r>
    </w:p>
    <w:p>
      <w:pPr>
        <w:spacing w:before="200" w:after="120"/>
      </w:pPr>
      <w:r>
        <w:rPr>
          <w:rFonts w:ascii="Calibri" w:hAnsi="Calibri" w:eastAsia="Calibri"/>
          <w:b/>
          <w:i w:val="0"/>
          <w:sz w:val="24"/>
        </w:rPr>
        <w:t>Step 2 — Generate Adversarial Counterexample</w:t>
      </w:r>
    </w:p>
    <w:p>
      <w:pPr>
        <w:spacing w:after="120" w:before="0"/>
      </w:pPr>
      <w:r>
        <w:rPr>
          <w:rFonts w:ascii="Calibri" w:hAnsi="Calibri" w:eastAsia="Calibri"/>
          <w:b w:val="0"/>
          <w:i w:val="0"/>
          <w:sz w:val="22"/>
        </w:rPr>
        <w:t>Construct the strongest case that would falsify the current mechanism if the mechanism is wrong or incomplete. The case must be hostile by design. Apply the Counterexample Quality Gate. Record why the case is expected to break the mechanism.</w:t>
      </w:r>
    </w:p>
    <w:p>
      <w:pPr>
        <w:spacing w:after="120" w:before="0"/>
      </w:pPr>
      <w:r>
        <w:rPr>
          <w:rFonts w:ascii="Calibri" w:hAnsi="Calibri" w:eastAsia="Calibri"/>
          <w:b w:val="0"/>
          <w:i w:val="0"/>
          <w:sz w:val="22"/>
        </w:rPr>
        <w:t>Required output: Counterexample description + expected failure mode + Quality Gate result.</w:t>
      </w:r>
    </w:p>
    <w:p>
      <w:pPr>
        <w:spacing w:before="200" w:after="120"/>
      </w:pPr>
      <w:r>
        <w:rPr>
          <w:rFonts w:ascii="Calibri" w:hAnsi="Calibri" w:eastAsia="Calibri"/>
          <w:b/>
          <w:i w:val="0"/>
          <w:sz w:val="24"/>
        </w:rPr>
        <w:t>Step 3 — Test Mechanism Against Counterexample</w:t>
      </w:r>
    </w:p>
    <w:p>
      <w:pPr>
        <w:spacing w:after="120" w:before="0"/>
      </w:pPr>
      <w:r>
        <w:rPr>
          <w:rFonts w:ascii="Calibri" w:hAnsi="Calibri" w:eastAsia="Calibri"/>
          <w:b w:val="0"/>
          <w:i w:val="0"/>
          <w:sz w:val="22"/>
        </w:rPr>
        <w:t>Apply the mechanism strictly. Record pass or fail. If it fails, state exactly which part of the mechanism failed and why.</w:t>
      </w:r>
    </w:p>
    <w:p>
      <w:pPr>
        <w:spacing w:after="120" w:before="0"/>
      </w:pPr>
      <w:r>
        <w:rPr>
          <w:rFonts w:ascii="Calibri" w:hAnsi="Calibri" w:eastAsia="Calibri"/>
          <w:b w:val="0"/>
          <w:i w:val="0"/>
          <w:sz w:val="22"/>
        </w:rPr>
        <w:t>Required output: Test result (Pass / Fail) + failure analysis (if Fail).</w:t>
      </w:r>
    </w:p>
    <w:p>
      <w:pPr>
        <w:spacing w:before="200" w:after="120"/>
      </w:pPr>
      <w:r>
        <w:rPr>
          <w:rFonts w:ascii="Calibri" w:hAnsi="Calibri" w:eastAsia="Calibri"/>
          <w:b/>
          <w:i w:val="0"/>
          <w:sz w:val="24"/>
        </w:rPr>
        <w:t>Step 4 — Patch or Declare Survival</w:t>
      </w:r>
    </w:p>
    <w:p>
      <w:pPr>
        <w:spacing w:after="120" w:before="0"/>
      </w:pPr>
      <w:r>
        <w:rPr>
          <w:rFonts w:ascii="Calibri" w:hAnsi="Calibri" w:eastAsia="Calibri"/>
          <w:b w:val="0"/>
          <w:i w:val="0"/>
          <w:sz w:val="22"/>
        </w:rPr>
        <w:t>If the mechanism failed: produce a patched version that explicitly addresses the documented failure. The patch must be narrower or more precise, not broader or more vague.</w:t>
      </w:r>
    </w:p>
    <w:p>
      <w:pPr>
        <w:spacing w:after="120" w:before="0"/>
      </w:pPr>
      <w:r>
        <w:rPr>
          <w:rFonts w:ascii="Calibri" w:hAnsi="Calibri" w:eastAsia="Calibri"/>
          <w:b w:val="0"/>
          <w:i w:val="0"/>
          <w:sz w:val="22"/>
        </w:rPr>
        <w:t>If the mechanism survived serious pressure: proceed toward termination checks with the current version.</w:t>
      </w:r>
    </w:p>
    <w:p>
      <w:pPr>
        <w:spacing w:after="120" w:before="0"/>
      </w:pPr>
      <w:r>
        <w:rPr>
          <w:rFonts w:ascii="Calibri" w:hAnsi="Calibri" w:eastAsia="Calibri"/>
          <w:b w:val="0"/>
          <w:i w:val="0"/>
          <w:sz w:val="22"/>
        </w:rPr>
        <w:t>Required output: Patched mechanism (vN+1) or Survival declaration.</w:t>
      </w:r>
    </w:p>
    <w:p>
      <w:pPr>
        <w:spacing w:before="200" w:after="120"/>
      </w:pPr>
      <w:r>
        <w:rPr>
          <w:rFonts w:ascii="Calibri" w:hAnsi="Calibri" w:eastAsia="Calibri"/>
          <w:b/>
          <w:i w:val="0"/>
          <w:sz w:val="24"/>
        </w:rPr>
        <w:t>Step 5 — Generate New Adversarial Counterexample</w:t>
      </w:r>
    </w:p>
    <w:p>
      <w:pPr>
        <w:spacing w:after="120" w:before="0"/>
      </w:pPr>
      <w:r>
        <w:rPr>
          <w:rFonts w:ascii="Calibri" w:hAnsi="Calibri" w:eastAsia="Calibri"/>
          <w:b w:val="0"/>
          <w:i w:val="0"/>
          <w:sz w:val="22"/>
        </w:rPr>
        <w:t>Against the current (patched or surviving) mechanism, generate a new hostile case. Do not reuse prior cases unless the patch has altered the relevant surface. Apply the Quality Gate.</w:t>
      </w:r>
    </w:p>
    <w:p>
      <w:pPr>
        <w:spacing w:after="120" w:before="0"/>
      </w:pPr>
      <w:r>
        <w:rPr>
          <w:rFonts w:ascii="Calibri" w:hAnsi="Calibri" w:eastAsia="Calibri"/>
          <w:b w:val="0"/>
          <w:i w:val="0"/>
          <w:sz w:val="22"/>
        </w:rPr>
        <w:t>Required output: New counterexample + expected failure mode + Quality Gate result.</w:t>
      </w:r>
    </w:p>
    <w:p>
      <w:pPr>
        <w:spacing w:before="200" w:after="120"/>
      </w:pPr>
      <w:r>
        <w:rPr>
          <w:rFonts w:ascii="Calibri" w:hAnsi="Calibri" w:eastAsia="Calibri"/>
          <w:b/>
          <w:i w:val="0"/>
          <w:sz w:val="24"/>
        </w:rPr>
        <w:t>Step 6 — Iterate or Terminate</w:t>
      </w:r>
    </w:p>
    <w:p>
      <w:pPr>
        <w:spacing w:after="120" w:before="0"/>
      </w:pPr>
      <w:r>
        <w:rPr>
          <w:rFonts w:ascii="Calibri" w:hAnsi="Calibri" w:eastAsia="Calibri"/>
          <w:b w:val="0"/>
          <w:i w:val="0"/>
          <w:sz w:val="22"/>
        </w:rPr>
        <w:t>Repeat Steps 3–5 until one of the two termination conditions in Section 5 is met. Each cycle must produce a new versioned mechanism or a floor declaration.</w:t>
      </w:r>
    </w:p>
    <w:p>
      <w:pPr>
        <w:spacing w:after="120" w:before="0"/>
      </w:pPr>
      <w:r>
        <w:rPr>
          <w:rFonts w:ascii="Calibri" w:hAnsi="Calibri" w:eastAsia="Calibri"/>
          <w:b w:val="0"/>
          <w:i w:val="0"/>
          <w:sz w:val="22"/>
        </w:rPr>
        <w:t>For composite terms: after atomic-unit runs terminate, state the Composition Rule and any residual multi-gate open items.</w:t>
      </w:r>
    </w:p>
    <w:p>
      <w:pPr>
        <w:spacing w:before="280" w:after="120"/>
      </w:pPr>
      <w:r>
        <w:rPr>
          <w:rFonts w:ascii="Calibri" w:hAnsi="Calibri" w:eastAsia="Calibri"/>
          <w:b/>
          <w:i w:val="0"/>
          <w:sz w:val="28"/>
        </w:rPr>
        <w:t>5. Termination Conditions</w:t>
      </w:r>
    </w:p>
    <w:p>
      <w:pPr>
        <w:spacing w:before="200" w:after="120"/>
      </w:pPr>
      <w:r>
        <w:rPr>
          <w:rFonts w:ascii="Calibri" w:hAnsi="Calibri" w:eastAsia="Calibri"/>
          <w:b/>
          <w:i w:val="0"/>
          <w:sz w:val="24"/>
        </w:rPr>
        <w:t>5.1 Survival</w:t>
      </w:r>
    </w:p>
    <w:p>
      <w:pPr>
        <w:spacing w:after="120" w:before="0"/>
      </w:pPr>
      <w:r>
        <w:rPr>
          <w:rFonts w:ascii="Calibri" w:hAnsi="Calibri" w:eastAsia="Calibri"/>
          <w:b w:val="0"/>
          <w:i w:val="0"/>
          <w:sz w:val="22"/>
        </w:rPr>
        <w:t>The current mechanism has withstood multiple independent adversarial counterexamples without requiring further patch. Residual uncertainty must still be stated. Survival does not equal final truth. Minimum: at least two quality-gated independent counterexamples survived after the last patch (or after v1 if unpatched), unless a documented nonconformance justifies a narrower survival claim.</w:t>
      </w:r>
    </w:p>
    <w:p>
      <w:pPr>
        <w:spacing w:before="200" w:after="120"/>
      </w:pPr>
      <w:r>
        <w:rPr>
          <w:rFonts w:ascii="Calibri" w:hAnsi="Calibri" w:eastAsia="Calibri"/>
          <w:b/>
          <w:i w:val="0"/>
          <w:sz w:val="24"/>
        </w:rPr>
        <w:t>5.2 Floor</w:t>
      </w:r>
    </w:p>
    <w:p>
      <w:pPr>
        <w:spacing w:after="120" w:before="0"/>
      </w:pPr>
      <w:r>
        <w:rPr>
          <w:rFonts w:ascii="Calibri" w:hAnsi="Calibri" w:eastAsia="Calibri"/>
          <w:b w:val="0"/>
          <w:i w:val="0"/>
          <w:sz w:val="22"/>
        </w:rPr>
        <w:t>A genuine, irreducible fork or limit has been located. Criteria for declaring a floor:</w:t>
      </w:r>
    </w:p>
    <w:p>
      <w:pPr>
        <w:pStyle w:val="ListBullet"/>
        <w:spacing w:after="60"/>
      </w:pPr>
      <w:r>
        <w:rPr>
          <w:rFonts w:ascii="Calibri" w:hAnsi="Calibri" w:eastAsia="Calibri"/>
          <w:b w:val="0"/>
          <w:i w:val="0"/>
          <w:sz w:val="22"/>
        </w:rPr>
        <w:t>Further mechanism refinement either cannot break the remaining tie or does so only by answering a different question.</w:t>
      </w:r>
    </w:p>
    <w:p>
      <w:pPr>
        <w:pStyle w:val="ListBullet"/>
        <w:spacing w:after="60"/>
      </w:pPr>
      <w:r>
        <w:rPr>
          <w:rFonts w:ascii="Calibri" w:hAnsi="Calibri" w:eastAsia="Calibri"/>
          <w:b w:val="0"/>
          <w:i w:val="0"/>
          <w:sz w:val="22"/>
        </w:rPr>
        <w:t>The residual choice is characterized (e.g., a known decision-theoretic fork, or sufficiency thresholds without non-arbitrary anchor).</w:t>
      </w:r>
    </w:p>
    <w:p>
      <w:pPr>
        <w:pStyle w:val="ListBullet"/>
        <w:spacing w:after="60"/>
      </w:pPr>
      <w:r>
        <w:rPr>
          <w:rFonts w:ascii="Calibri" w:hAnsi="Calibri" w:eastAsia="Calibri"/>
          <w:b w:val="0"/>
          <w:i w:val="0"/>
          <w:sz w:val="22"/>
        </w:rPr>
        <w:t>Any adjacent, separately calibratable question is identified and explicitly separated.</w:t>
      </w:r>
    </w:p>
    <w:p>
      <w:pPr>
        <w:pStyle w:val="ListBullet"/>
        <w:spacing w:after="60"/>
      </w:pPr>
      <w:r>
        <w:rPr>
          <w:rFonts w:ascii="Calibri" w:hAnsi="Calibri" w:eastAsia="Calibri"/>
          <w:b w:val="0"/>
          <w:i w:val="0"/>
          <w:sz w:val="22"/>
        </w:rPr>
        <w:t>Attempts to resolve the floor via system properties or other measurable variables have been tested and shown to change the question rather than answer it.</w:t>
      </w:r>
    </w:p>
    <w:p>
      <w:pPr>
        <w:spacing w:after="120" w:before="0"/>
      </w:pPr>
      <w:r>
        <w:rPr>
          <w:rFonts w:ascii="Calibri" w:hAnsi="Calibri" w:eastAsia="Calibri"/>
          <w:b w:val="0"/>
          <w:i w:val="0"/>
          <w:sz w:val="22"/>
        </w:rPr>
        <w:t>A floor is logged as calibration output. It is not a failure of the method.</w:t>
      </w:r>
    </w:p>
    <w:p>
      <w:pPr>
        <w:spacing w:before="280" w:after="120"/>
      </w:pPr>
      <w:r>
        <w:rPr>
          <w:rFonts w:ascii="Calibri" w:hAnsi="Calibri" w:eastAsia="Calibri"/>
          <w:b/>
          <w:i w:val="0"/>
          <w:sz w:val="28"/>
        </w:rPr>
        <w:t>6. Required Record Fields (Schema)</w:t>
      </w:r>
    </w:p>
    <w:p>
      <w:pPr>
        <w:spacing w:after="120" w:before="0"/>
      </w:pPr>
      <w:r>
        <w:rPr>
          <w:rFonts w:ascii="Calibri" w:hAnsi="Calibri" w:eastAsia="Calibri"/>
          <w:b w:val="0"/>
          <w:i w:val="0"/>
          <w:sz w:val="22"/>
        </w:rPr>
        <w:t>Every Calibration Record produced under this Standard must contain the following fields. Fields marked Required are mandatory for any standing above Self-Assessed.</w:t>
      </w:r>
    </w:p>
    <w:tbl>
      <w:tblPr>
        <w:tblStyle w:val="TableGrid"/>
        <w:tblW w:type="auto" w:w="0"/>
        <w:tblLook w:firstColumn="1" w:firstRow="1" w:lastColumn="0" w:lastRow="0" w:noHBand="0" w:noVBand="1" w:val="04A0"/>
      </w:tblPr>
      <w:tblGrid>
        <w:gridCol w:w="3120"/>
        <w:gridCol w:w="3120"/>
        <w:gridCol w:w="3120"/>
      </w:tblGrid>
      <w:tr>
        <w:tc>
          <w:tcPr>
            <w:tcW w:type="dxa" w:w="3120"/>
          </w:tcPr>
          <w:p>
            <w:r>
              <w:rPr>
                <w:rFonts w:ascii="Calibri" w:hAnsi="Calibri" w:eastAsia="Calibri"/>
                <w:b/>
                <w:i w:val="0"/>
                <w:sz w:val="20"/>
              </w:rPr>
              <w:t>Field</w:t>
            </w:r>
          </w:p>
        </w:tc>
        <w:tc>
          <w:tcPr>
            <w:tcW w:type="dxa" w:w="3120"/>
          </w:tcPr>
          <w:p>
            <w:r>
              <w:rPr>
                <w:rFonts w:ascii="Calibri" w:hAnsi="Calibri" w:eastAsia="Calibri"/>
                <w:b/>
                <w:i w:val="0"/>
                <w:sz w:val="20"/>
              </w:rPr>
              <w:t>Req?</w:t>
            </w:r>
          </w:p>
        </w:tc>
        <w:tc>
          <w:tcPr>
            <w:tcW w:type="dxa" w:w="3120"/>
          </w:tcPr>
          <w:p>
            <w:r>
              <w:rPr>
                <w:rFonts w:ascii="Calibri" w:hAnsi="Calibri" w:eastAsia="Calibri"/>
                <w:b/>
                <w:i w:val="0"/>
                <w:sz w:val="20"/>
              </w:rPr>
              <w:t>Description</w:t>
            </w:r>
          </w:p>
        </w:tc>
      </w:tr>
      <w:tr>
        <w:tc>
          <w:tcPr>
            <w:tcW w:type="dxa" w:w="3120"/>
          </w:tcPr>
          <w:p>
            <w:r>
              <w:rPr>
                <w:rFonts w:ascii="Calibri" w:hAnsi="Calibri" w:eastAsia="Calibri"/>
                <w:b w:val="0"/>
                <w:i w:val="0"/>
                <w:sz w:val="18"/>
              </w:rPr>
              <w:t>term</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The target abstract term under decomposition.</w:t>
            </w:r>
          </w:p>
        </w:tc>
      </w:tr>
      <w:tr>
        <w:tc>
          <w:tcPr>
            <w:tcW w:type="dxa" w:w="3120"/>
          </w:tcPr>
          <w:p>
            <w:r>
              <w:rPr>
                <w:rFonts w:ascii="Calibri" w:hAnsi="Calibri" w:eastAsia="Calibri"/>
                <w:b w:val="0"/>
                <w:i w:val="0"/>
                <w:sz w:val="18"/>
              </w:rPr>
              <w:t>run_id</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Unique identifier for this calibration run (date + term + instrument set).</w:t>
            </w:r>
          </w:p>
        </w:tc>
      </w:tr>
      <w:tr>
        <w:tc>
          <w:tcPr>
            <w:tcW w:type="dxa" w:w="3120"/>
          </w:tcPr>
          <w:p>
            <w:r>
              <w:rPr>
                <w:rFonts w:ascii="Calibri" w:hAnsi="Calibri" w:eastAsia="Calibri"/>
                <w:b w:val="0"/>
                <w:i w:val="0"/>
                <w:sz w:val="18"/>
              </w:rPr>
              <w:t>participants</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Human and AI instruments involved. Note correlation risk.</w:t>
            </w:r>
          </w:p>
        </w:tc>
      </w:tr>
      <w:tr>
        <w:tc>
          <w:tcPr>
            <w:tcW w:type="dxa" w:w="3120"/>
          </w:tcPr>
          <w:p>
            <w:r>
              <w:rPr>
                <w:rFonts w:ascii="Calibri" w:hAnsi="Calibri" w:eastAsia="Calibri"/>
                <w:b w:val="0"/>
                <w:i w:val="0"/>
                <w:sz w:val="18"/>
              </w:rPr>
              <w:t>atomicity_result</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Single or Bundle. List of atomic units if Bundle. Step 0 sketches summarized.</w:t>
            </w:r>
          </w:p>
        </w:tc>
      </w:tr>
      <w:tr>
        <w:tc>
          <w:tcPr>
            <w:tcW w:type="dxa" w:w="3120"/>
          </w:tcPr>
          <w:p>
            <w:r>
              <w:rPr>
                <w:rFonts w:ascii="Calibri" w:hAnsi="Calibri" w:eastAsia="Calibri"/>
                <w:b w:val="0"/>
                <w:i w:val="0"/>
                <w:sz w:val="18"/>
              </w:rPr>
              <w:t>composition_rule</w:t>
            </w:r>
          </w:p>
        </w:tc>
        <w:tc>
          <w:tcPr>
            <w:tcW w:type="dxa" w:w="3120"/>
          </w:tcPr>
          <w:p>
            <w:r>
              <w:rPr>
                <w:rFonts w:ascii="Calibri" w:hAnsi="Calibri" w:eastAsia="Calibri"/>
                <w:b w:val="0"/>
                <w:i w:val="0"/>
                <w:sz w:val="18"/>
              </w:rPr>
              <w:t>If Bundle</w:t>
            </w:r>
          </w:p>
        </w:tc>
        <w:tc>
          <w:tcPr>
            <w:tcW w:type="dxa" w:w="3120"/>
          </w:tcPr>
          <w:p>
            <w:r>
              <w:rPr>
                <w:rFonts w:ascii="Calibri" w:hAnsi="Calibri" w:eastAsia="Calibri"/>
                <w:b w:val="0"/>
                <w:i w:val="0"/>
                <w:sz w:val="18"/>
              </w:rPr>
              <w:t>How atomic results combine: gates, non-substitution, forbidden averages. Gate-worthiness rationale.</w:t>
            </w:r>
          </w:p>
        </w:tc>
      </w:tr>
      <w:tr>
        <w:tc>
          <w:tcPr>
            <w:tcW w:type="dxa" w:w="3120"/>
          </w:tcPr>
          <w:p>
            <w:r>
              <w:rPr>
                <w:rFonts w:ascii="Calibri" w:hAnsi="Calibri" w:eastAsia="Calibri"/>
                <w:b w:val="0"/>
                <w:i w:val="0"/>
                <w:sz w:val="18"/>
              </w:rPr>
              <w:t>mechanism_versions</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Ordered list of all mechanism statements (v1…vN) with change rationale (per atomic unit if Bundle).</w:t>
            </w:r>
          </w:p>
        </w:tc>
      </w:tr>
      <w:tr>
        <w:tc>
          <w:tcPr>
            <w:tcW w:type="dxa" w:w="3120"/>
          </w:tcPr>
          <w:p>
            <w:r>
              <w:rPr>
                <w:rFonts w:ascii="Calibri" w:hAnsi="Calibri" w:eastAsia="Calibri"/>
                <w:b w:val="0"/>
                <w:i w:val="0"/>
                <w:sz w:val="18"/>
              </w:rPr>
              <w:t>counterexamples</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Each counterexample with expected failure mode, Quality Gate result, and actual test result.</w:t>
            </w:r>
          </w:p>
        </w:tc>
      </w:tr>
      <w:tr>
        <w:tc>
          <w:tcPr>
            <w:tcW w:type="dxa" w:w="3120"/>
          </w:tcPr>
          <w:p>
            <w:r>
              <w:rPr>
                <w:rFonts w:ascii="Calibri" w:hAnsi="Calibri" w:eastAsia="Calibri"/>
                <w:b w:val="0"/>
                <w:i w:val="0"/>
                <w:sz w:val="18"/>
              </w:rPr>
              <w:t>patches</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Each patch linked to the specific failure it claims to resolve.</w:t>
            </w:r>
          </w:p>
        </w:tc>
      </w:tr>
      <w:tr>
        <w:tc>
          <w:tcPr>
            <w:tcW w:type="dxa" w:w="3120"/>
          </w:tcPr>
          <w:p>
            <w:r>
              <w:rPr>
                <w:rFonts w:ascii="Calibri" w:hAnsi="Calibri" w:eastAsia="Calibri"/>
                <w:b w:val="0"/>
                <w:i w:val="0"/>
                <w:sz w:val="18"/>
              </w:rPr>
              <w:t>mid_run_corrections</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Withdrawn counterexamples, conceded errors, human-caught pattern corrections, and other mid-run corrections — with reason.</w:t>
            </w:r>
          </w:p>
        </w:tc>
      </w:tr>
      <w:tr>
        <w:tc>
          <w:tcPr>
            <w:tcW w:type="dxa" w:w="3120"/>
          </w:tcPr>
          <w:p>
            <w:r>
              <w:rPr>
                <w:rFonts w:ascii="Calibri" w:hAnsi="Calibri" w:eastAsia="Calibri"/>
                <w:b w:val="0"/>
                <w:i w:val="0"/>
                <w:sz w:val="18"/>
              </w:rPr>
              <w:t>termination_type</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Survival or Floor (per atomic unit and/or composition as applicable).</w:t>
            </w:r>
          </w:p>
        </w:tc>
      </w:tr>
      <w:tr>
        <w:tc>
          <w:tcPr>
            <w:tcW w:type="dxa" w:w="3120"/>
          </w:tcPr>
          <w:p>
            <w:r>
              <w:rPr>
                <w:rFonts w:ascii="Calibri" w:hAnsi="Calibri" w:eastAsia="Calibri"/>
                <w:b w:val="0"/>
                <w:i w:val="0"/>
                <w:sz w:val="18"/>
              </w:rPr>
              <w:t>floor_characterization</w:t>
            </w:r>
          </w:p>
        </w:tc>
        <w:tc>
          <w:tcPr>
            <w:tcW w:type="dxa" w:w="3120"/>
          </w:tcPr>
          <w:p>
            <w:r>
              <w:rPr>
                <w:rFonts w:ascii="Calibri" w:hAnsi="Calibri" w:eastAsia="Calibri"/>
                <w:b w:val="0"/>
                <w:i w:val="0"/>
                <w:sz w:val="18"/>
              </w:rPr>
              <w:t>If Floor</w:t>
            </w:r>
          </w:p>
        </w:tc>
        <w:tc>
          <w:tcPr>
            <w:tcW w:type="dxa" w:w="3120"/>
          </w:tcPr>
          <w:p>
            <w:r>
              <w:rPr>
                <w:rFonts w:ascii="Calibri" w:hAnsi="Calibri" w:eastAsia="Calibri"/>
                <w:b w:val="0"/>
                <w:i w:val="0"/>
                <w:sz w:val="18"/>
              </w:rPr>
              <w:t>Precise description of the irreducible fork + adjacent questions separated. Standing of the floor claim itself.</w:t>
            </w:r>
          </w:p>
        </w:tc>
      </w:tr>
      <w:tr>
        <w:tc>
          <w:tcPr>
            <w:tcW w:type="dxa" w:w="3120"/>
          </w:tcPr>
          <w:p>
            <w:r>
              <w:rPr>
                <w:rFonts w:ascii="Calibri" w:hAnsi="Calibri" w:eastAsia="Calibri"/>
                <w:b w:val="0"/>
                <w:i w:val="0"/>
                <w:sz w:val="18"/>
              </w:rPr>
              <w:t>residual_uncertainty</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Explicit statement of remaining uncertainty and known limitations.</w:t>
            </w:r>
          </w:p>
        </w:tc>
      </w:tr>
      <w:tr>
        <w:tc>
          <w:tcPr>
            <w:tcW w:type="dxa" w:w="3120"/>
          </w:tcPr>
          <w:p>
            <w:r>
              <w:rPr>
                <w:rFonts w:ascii="Calibri" w:hAnsi="Calibri" w:eastAsia="Calibri"/>
                <w:b w:val="0"/>
                <w:i w:val="0"/>
                <w:sz w:val="18"/>
              </w:rPr>
              <w:t>standing</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Self-Assessed / Round-Robin / Confirmed.</w:t>
            </w:r>
          </w:p>
        </w:tc>
      </w:tr>
      <w:tr>
        <w:tc>
          <w:tcPr>
            <w:tcW w:type="dxa" w:w="3120"/>
          </w:tcPr>
          <w:p>
            <w:r>
              <w:rPr>
                <w:rFonts w:ascii="Calibri" w:hAnsi="Calibri" w:eastAsia="Calibri"/>
                <w:b w:val="0"/>
                <w:i w:val="0"/>
                <w:sz w:val="18"/>
              </w:rPr>
              <w:t>nonconformance_log</w:t>
            </w:r>
          </w:p>
        </w:tc>
        <w:tc>
          <w:tcPr>
            <w:tcW w:type="dxa" w:w="3120"/>
          </w:tcPr>
          <w:p>
            <w:r>
              <w:rPr>
                <w:rFonts w:ascii="Calibri" w:hAnsi="Calibri" w:eastAsia="Calibri"/>
                <w:b w:val="0"/>
                <w:i w:val="0"/>
                <w:sz w:val="18"/>
              </w:rPr>
              <w:t>Yes</w:t>
            </w:r>
          </w:p>
        </w:tc>
        <w:tc>
          <w:tcPr>
            <w:tcW w:type="dxa" w:w="3120"/>
          </w:tcPr>
          <w:p>
            <w:r>
              <w:rPr>
                <w:rFonts w:ascii="Calibri" w:hAnsi="Calibri" w:eastAsia="Calibri"/>
                <w:b w:val="0"/>
                <w:i w:val="0"/>
                <w:sz w:val="18"/>
              </w:rPr>
              <w:t>Any deviations from protocol steps, with justification.</w:t>
            </w:r>
          </w:p>
        </w:tc>
      </w:tr>
      <w:tr>
        <w:tc>
          <w:tcPr>
            <w:tcW w:type="dxa" w:w="3120"/>
          </w:tcPr>
          <w:p>
            <w:r>
              <w:rPr>
                <w:rFonts w:ascii="Calibri" w:hAnsi="Calibri" w:eastAsia="Calibri"/>
                <w:b w:val="0"/>
                <w:i w:val="0"/>
                <w:sz w:val="18"/>
              </w:rPr>
              <w:t>next_actions</w:t>
            </w:r>
          </w:p>
        </w:tc>
        <w:tc>
          <w:tcPr>
            <w:tcW w:type="dxa" w:w="3120"/>
          </w:tcPr>
          <w:p>
            <w:r>
              <w:rPr>
                <w:rFonts w:ascii="Calibri" w:hAnsi="Calibri" w:eastAsia="Calibri"/>
                <w:b w:val="0"/>
                <w:i w:val="0"/>
                <w:sz w:val="18"/>
              </w:rPr>
              <w:t>Recommended</w:t>
            </w:r>
          </w:p>
        </w:tc>
        <w:tc>
          <w:tcPr>
            <w:tcW w:type="dxa" w:w="3120"/>
          </w:tcPr>
          <w:p>
            <w:r>
              <w:rPr>
                <w:rFonts w:ascii="Calibri" w:hAnsi="Calibri" w:eastAsia="Calibri"/>
                <w:b w:val="0"/>
                <w:i w:val="0"/>
                <w:sz w:val="18"/>
              </w:rPr>
              <w:t>Independent re-run targets, remaining atomic units, schema improvements.</w:t>
            </w:r>
          </w:p>
        </w:tc>
      </w:tr>
    </w:tbl>
    <w:p>
      <w:pPr>
        <w:spacing w:before="280" w:after="120"/>
      </w:pPr>
      <w:r>
        <w:rPr>
          <w:rFonts w:ascii="Calibri" w:hAnsi="Calibri" w:eastAsia="Calibri"/>
          <w:b/>
          <w:i w:val="0"/>
          <w:sz w:val="28"/>
        </w:rPr>
        <w:t>7. Standing and Promotion Rules</w:t>
      </w:r>
    </w:p>
    <w:p>
      <w:pPr>
        <w:spacing w:after="120" w:before="0"/>
      </w:pPr>
      <w:r>
        <w:rPr>
          <w:rFonts w:ascii="Calibri" w:hAnsi="Calibri" w:eastAsia="Calibri"/>
          <w:b w:val="0"/>
          <w:i w:val="0"/>
          <w:sz w:val="22"/>
        </w:rPr>
        <w:t>Standing is assigned to both this Standard and to individual Calibration Records.</w:t>
      </w:r>
    </w:p>
    <w:p>
      <w:pPr>
        <w:spacing w:after="120" w:before="0"/>
      </w:pPr>
      <w:r>
        <w:rPr>
          <w:rFonts w:ascii="Calibri" w:hAnsi="Calibri" w:eastAsia="Calibri"/>
          <w:b/>
          <w:i w:val="0"/>
          <w:sz w:val="22"/>
        </w:rPr>
        <w:t>Self-Assessed</w:t>
      </w:r>
    </w:p>
    <w:p>
      <w:pPr>
        <w:spacing w:after="120" w:before="0"/>
      </w:pPr>
      <w:r>
        <w:rPr>
          <w:rFonts w:ascii="Calibri" w:hAnsi="Calibri" w:eastAsia="Calibri"/>
          <w:b w:val="0"/>
          <w:i w:val="0"/>
          <w:sz w:val="22"/>
        </w:rPr>
        <w:t>Produced by a single session or correlated instrument set. Default starting status. No external claim of robustness. Floor declarations begin here.</w:t>
      </w:r>
    </w:p>
    <w:p>
      <w:pPr>
        <w:spacing w:after="120" w:before="0"/>
      </w:pPr>
      <w:r>
        <w:rPr>
          <w:rFonts w:ascii="Calibri" w:hAnsi="Calibri" w:eastAsia="Calibri"/>
          <w:b/>
          <w:i w:val="0"/>
          <w:sz w:val="22"/>
        </w:rPr>
        <w:t>Round-Robin</w:t>
      </w:r>
    </w:p>
    <w:p>
      <w:pPr>
        <w:spacing w:after="120" w:before="0"/>
      </w:pPr>
      <w:r>
        <w:rPr>
          <w:rFonts w:ascii="Calibri" w:hAnsi="Calibri" w:eastAsia="Calibri"/>
          <w:b w:val="0"/>
          <w:i w:val="0"/>
          <w:sz w:val="22"/>
        </w:rPr>
        <w:t>At least one independent re-run by instruments not present in the original session has reproduced the core mechanism sequence and floor (or survival) claim within stated uncertainty. AI-only round-robin is noted as correlated and does not by itself promote beyond this level.</w:t>
      </w:r>
    </w:p>
    <w:p>
      <w:pPr>
        <w:spacing w:after="120" w:before="0"/>
      </w:pPr>
      <w:r>
        <w:rPr>
          <w:rFonts w:ascii="Calibri" w:hAnsi="Calibri" w:eastAsia="Calibri"/>
          <w:b/>
          <w:i w:val="0"/>
          <w:sz w:val="22"/>
        </w:rPr>
        <w:t>Confirmed</w:t>
      </w:r>
    </w:p>
    <w:p>
      <w:pPr>
        <w:spacing w:after="120" w:before="0"/>
      </w:pPr>
      <w:r>
        <w:rPr>
          <w:rFonts w:ascii="Calibri" w:hAnsi="Calibri" w:eastAsia="Calibri"/>
          <w:b w:val="0"/>
          <w:i w:val="0"/>
          <w:sz w:val="22"/>
        </w:rPr>
        <w:t>Multiple independent re-runs, including at least one non-AI or strongly independent instrument, have reproduced the result. Residual uncertainty remains declared. Confirmed status is always provisional and subject to new counterexamples.</w:t>
      </w:r>
    </w:p>
    <w:p>
      <w:pPr>
        <w:spacing w:after="120" w:before="0"/>
      </w:pPr>
      <w:r>
        <w:rPr>
          <w:rFonts w:ascii="Calibri" w:hAnsi="Calibri" w:eastAsia="Calibri"/>
          <w:b w:val="0"/>
          <w:i w:val="0"/>
          <w:sz w:val="22"/>
        </w:rPr>
        <w:t>Promotion requires documented evidence. Inflation of standing is a nonconformance.</w:t>
      </w:r>
    </w:p>
    <w:p>
      <w:pPr>
        <w:spacing w:before="280" w:after="120"/>
      </w:pPr>
      <w:r>
        <w:rPr>
          <w:rFonts w:ascii="Calibri" w:hAnsi="Calibri" w:eastAsia="Calibri"/>
          <w:b/>
          <w:i w:val="0"/>
          <w:sz w:val="28"/>
        </w:rPr>
        <w:t>8. Nonconformance Logging</w:t>
      </w:r>
    </w:p>
    <w:p>
      <w:pPr>
        <w:spacing w:after="120" w:before="0"/>
      </w:pPr>
      <w:r>
        <w:rPr>
          <w:rFonts w:ascii="Calibri" w:hAnsi="Calibri" w:eastAsia="Calibri"/>
          <w:b w:val="0"/>
          <w:i w:val="0"/>
          <w:sz w:val="22"/>
        </w:rPr>
        <w:t>Any deviation from the mandatory sequence, any softening of adversarial pressure, any unstated patch, any invalid counterexample that passed the Quality Gate unchecked, skipping Step 0 when named sub-components were present, forcing a single chain on a demonstrated bundle, or any promotion of standing without evidence must be logged in the nonconformance_log field of the Calibration Record.</w:t>
      </w:r>
    </w:p>
    <w:p>
      <w:pPr>
        <w:spacing w:after="120" w:before="0"/>
      </w:pPr>
      <w:r>
        <w:rPr>
          <w:rFonts w:ascii="Calibri" w:hAnsi="Calibri" w:eastAsia="Calibri"/>
          <w:b w:val="0"/>
          <w:i w:val="0"/>
          <w:sz w:val="22"/>
        </w:rPr>
        <w:t>Nonconformances are not moral failures. They are measurement defects. Log them before fixing them.</w:t>
      </w:r>
    </w:p>
    <w:p>
      <w:pPr>
        <w:spacing w:before="280" w:after="120"/>
      </w:pPr>
      <w:r>
        <w:rPr>
          <w:rFonts w:ascii="Calibri" w:hAnsi="Calibri" w:eastAsia="Calibri"/>
          <w:b/>
          <w:i w:val="0"/>
          <w:sz w:val="28"/>
        </w:rPr>
        <w:t>9. Known Limitations and Open Items</w:t>
      </w:r>
    </w:p>
    <w:p>
      <w:pPr>
        <w:pStyle w:val="ListBullet"/>
        <w:spacing w:after="60"/>
      </w:pPr>
      <w:r>
        <w:rPr>
          <w:rFonts w:ascii="Calibri" w:hAnsi="Calibri" w:eastAsia="Calibri"/>
          <w:b w:val="0"/>
          <w:i w:val="0"/>
          <w:sz w:val="22"/>
        </w:rPr>
        <w:t>Correlated instruments produce weak confirmation signals.</w:t>
      </w:r>
    </w:p>
    <w:p>
      <w:pPr>
        <w:pStyle w:val="ListBullet"/>
        <w:spacing w:after="60"/>
      </w:pPr>
      <w:r>
        <w:rPr>
          <w:rFonts w:ascii="Calibri" w:hAnsi="Calibri" w:eastAsia="Calibri"/>
          <w:b w:val="0"/>
          <w:i w:val="0"/>
          <w:sz w:val="22"/>
        </w:rPr>
        <w:t>No Tier-A (outcome-based external) contact is required by this Standard in its current version; this is an open readiness gap.</w:t>
      </w:r>
    </w:p>
    <w:p>
      <w:pPr>
        <w:pStyle w:val="ListBullet"/>
        <w:spacing w:after="60"/>
      </w:pPr>
      <w:r>
        <w:rPr>
          <w:rFonts w:ascii="Calibri" w:hAnsi="Calibri" w:eastAsia="Calibri"/>
          <w:b w:val="0"/>
          <w:i w:val="0"/>
          <w:sz w:val="22"/>
        </w:rPr>
        <w:t>Step 0 reduces but does not fully replace hybrid-dependent scope judgment (when to run full decomposition vs. whole-word treatment for borderline terms).</w:t>
      </w:r>
    </w:p>
    <w:p>
      <w:pPr>
        <w:pStyle w:val="ListBullet"/>
        <w:spacing w:after="60"/>
      </w:pPr>
      <w:r>
        <w:rPr>
          <w:rFonts w:ascii="Calibri" w:hAnsi="Calibri" w:eastAsia="Calibri"/>
          <w:b w:val="0"/>
          <w:i w:val="0"/>
          <w:sz w:val="22"/>
        </w:rPr>
        <w:t>The protocol itself has not yet undergone independent adversarial re-run.</w:t>
      </w:r>
    </w:p>
    <w:p>
      <w:pPr>
        <w:pStyle w:val="ListBullet"/>
        <w:spacing w:after="60"/>
      </w:pPr>
      <w:r>
        <w:rPr>
          <w:rFonts w:ascii="Calibri" w:hAnsi="Calibri" w:eastAsia="Calibri"/>
          <w:b w:val="0"/>
          <w:i w:val="0"/>
          <w:sz w:val="22"/>
        </w:rPr>
        <w:t>Machine-readable schema (JSON or equivalent) is planned but not yet issued as a normative annex.</w:t>
      </w:r>
    </w:p>
    <w:p>
      <w:pPr>
        <w:pStyle w:val="ListBullet"/>
        <w:spacing w:after="60"/>
      </w:pPr>
      <w:r>
        <w:rPr>
          <w:rFonts w:ascii="Calibri" w:hAnsi="Calibri" w:eastAsia="Calibri"/>
          <w:b w:val="0"/>
          <w:i w:val="0"/>
          <w:sz w:val="22"/>
        </w:rPr>
        <w:t>Independence Classes for instruments remain informal.</w:t>
      </w:r>
    </w:p>
    <w:p>
      <w:pPr>
        <w:pStyle w:val="ListBullet"/>
        <w:spacing w:after="60"/>
      </w:pPr>
      <w:r>
        <w:rPr>
          <w:rFonts w:ascii="Calibri" w:hAnsi="Calibri" w:eastAsia="Calibri"/>
          <w:b w:val="0"/>
          <w:i w:val="0"/>
          <w:sz w:val="22"/>
        </w:rPr>
        <w:t>Gate-worthiness tests across multiple atomic units (e.g., Opportunity vs Institutional in Abundance) remain case-driven; no general theorem is claimed.</w:t>
      </w:r>
    </w:p>
    <w:p>
      <w:pPr>
        <w:spacing w:before="280" w:after="120"/>
      </w:pPr>
      <w:r>
        <w:rPr>
          <w:rFonts w:ascii="Calibri" w:hAnsi="Calibri" w:eastAsia="Calibri"/>
          <w:b/>
          <w:i w:val="0"/>
          <w:sz w:val="28"/>
        </w:rPr>
        <w:t>10. Change Control</w:t>
      </w:r>
    </w:p>
    <w:p>
      <w:pPr>
        <w:spacing w:after="120" w:before="0"/>
      </w:pPr>
      <w:r>
        <w:rPr>
          <w:rFonts w:ascii="Calibri" w:hAnsi="Calibri" w:eastAsia="Calibri"/>
          <w:b w:val="0"/>
          <w:i w:val="0"/>
          <w:sz w:val="22"/>
        </w:rPr>
        <w:t>This is a Provisional Working Standard under permanent beta. Any material change requires:</w:t>
      </w:r>
    </w:p>
    <w:p>
      <w:pPr>
        <w:pStyle w:val="ListBullet"/>
        <w:spacing w:after="60"/>
      </w:pPr>
      <w:r>
        <w:rPr>
          <w:rFonts w:ascii="Calibri" w:hAnsi="Calibri" w:eastAsia="Calibri"/>
          <w:b w:val="0"/>
          <w:i w:val="0"/>
          <w:sz w:val="22"/>
        </w:rPr>
        <w:t>Explicit version increment.</w:t>
      </w:r>
    </w:p>
    <w:p>
      <w:pPr>
        <w:pStyle w:val="ListBullet"/>
        <w:spacing w:after="60"/>
      </w:pPr>
      <w:r>
        <w:rPr>
          <w:rFonts w:ascii="Calibri" w:hAnsi="Calibri" w:eastAsia="Calibri"/>
          <w:b w:val="0"/>
          <w:i w:val="0"/>
          <w:sz w:val="22"/>
        </w:rPr>
        <w:t>Statement of what prior version is being superseded and why.</w:t>
      </w:r>
    </w:p>
    <w:p>
      <w:pPr>
        <w:pStyle w:val="ListBullet"/>
        <w:spacing w:after="60"/>
      </w:pPr>
      <w:r>
        <w:rPr>
          <w:rFonts w:ascii="Calibri" w:hAnsi="Calibri" w:eastAsia="Calibri"/>
          <w:b w:val="0"/>
          <w:i w:val="0"/>
          <w:sz w:val="22"/>
        </w:rPr>
        <w:t>Retention of prior versions for audit.</w:t>
      </w:r>
    </w:p>
    <w:p>
      <w:pPr>
        <w:spacing w:after="120" w:before="0"/>
      </w:pPr>
      <w:r>
        <w:rPr>
          <w:rFonts w:ascii="Calibri" w:hAnsi="Calibri" w:eastAsia="Calibri"/>
          <w:b w:val="0"/>
          <w:i w:val="0"/>
          <w:sz w:val="22"/>
        </w:rPr>
        <w:t>Reality remains the final arbiter. Better counterexamples or better instruments supersede any current claim.</w:t>
      </w:r>
    </w:p>
    <w:p>
      <w:pPr>
        <w:spacing w:before="320"/>
      </w:pPr>
      <w:r>
        <w:rPr>
          <w:rFonts w:ascii="Calibri" w:hAnsi="Calibri" w:eastAsia="Calibri"/>
          <w:b/>
          <w:i w:val="0"/>
          <w:sz w:val="22"/>
        </w:rPr>
        <w:t>END OF WORKING STANDARD TDP-001 v0.1.2</w:t>
      </w:r>
    </w:p>
    <w:p>
      <w:pPr>
        <w:spacing w:after="120" w:before="0"/>
      </w:pPr>
      <w:r>
        <w:rPr>
          <w:rFonts w:ascii="Calibri" w:hAnsi="Calibri" w:eastAsia="Calibri"/>
          <w:b w:val="0"/>
          <w:i w:val="0"/>
          <w:sz w:val="20"/>
        </w:rPr>
        <w:t>Supersedes: TDP-001 v0.1.1. Changes driven by recorded findings in the Abundance development calibration (composite term structure; Step 0 atomicity). Prior Fairness-driven controls in v0.1.1 retained.</w:t>
      </w:r>
    </w:p>
    <w:p>
      <w:pPr>
        <w:spacing w:after="120" w:before="0"/>
      </w:pPr>
      <w:r>
        <w:rPr>
          <w:rFonts w:ascii="Calibri" w:hAnsi="Calibri" w:eastAsia="Calibri"/>
          <w:b w:val="0"/>
          <w:i/>
          <w:sz w:val="20"/>
        </w:rPr>
        <w:t>Independent re-run of this Protocol, the Fairness record, and Abundance component runs is required before any standing promotion.</w:t>
      </w:r>
    </w:p>
    <w:p>
      <w:pPr>
        <w:spacing w:before="240"/>
      </w:pPr>
      <w:r>
        <w:rPr>
          <w:rFonts w:ascii="Calibri" w:hAnsi="Calibri" w:eastAsia="Calibri"/>
          <w:b/>
          <w:i w:val="0"/>
          <w:sz w:val="20"/>
        </w:rPr>
        <w:t>Copyright and license</w:t>
      </w:r>
    </w:p>
    <w:p>
      <w:pPr>
        <w:spacing w:after="120" w:before="0"/>
      </w:pPr>
      <w:r>
        <w:rPr>
          <w:rFonts w:ascii="Calibri" w:hAnsi="Calibri" w:eastAsia="Calibri"/>
          <w:b w:val="0"/>
          <w:i w:val="0"/>
          <w:sz w:val="20"/>
        </w:rPr>
        <w:t>Content is available under CC BY-SA 4.0 unless otherwise noted.</w:t>
      </w:r>
    </w:p>
    <w:p>
      <w:pPr>
        <w:spacing w:after="120" w:before="0"/>
      </w:pPr>
      <w:r>
        <w:rPr>
          <w:rFonts w:ascii="Calibri" w:hAnsi="Calibri" w:eastAsia="Calibri"/>
          <w:b w:val="0"/>
          <w:i/>
          <w:sz w:val="18"/>
        </w:rPr>
        <w:t>https://creativecommons.org/licenses/by-sa/4.0/</w:t>
      </w:r>
    </w:p>
    <w:p>
      <w:pPr>
        <w:spacing w:after="120" w:before="0"/>
      </w:pPr>
      <w:r>
        <w:rPr>
          <w:rFonts w:ascii="Calibri" w:hAnsi="Calibri" w:eastAsia="Calibri"/>
          <w:b w:val="0"/>
          <w:i/>
          <w:sz w:val="18"/>
        </w:rPr>
        <w:t>Sovereign Games Framework  ·  Metrology of the Abstract  ·  Permanent Beta</w:t>
      </w:r>
    </w:p>
    <w:sectPr w:rsidR="00FC693F" w:rsidRPr="0006063C" w:rsidSect="00034616">
      <w:pgSz w:w="12240" w:h="15840"/>
      <w:pgMar w:top="1224" w:right="1440" w:bottom="122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